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B3A3" w14:textId="77777777" w:rsidR="00762BA4" w:rsidRDefault="00762BA4" w:rsidP="00762BA4">
      <w:pPr>
        <w:pStyle w:val="Heading1"/>
      </w:pPr>
      <w:r>
        <w:t>Commentary to support marking</w:t>
      </w:r>
    </w:p>
    <w:p w14:paraId="68D17431" w14:textId="2CD6AACA" w:rsidR="00762BA4" w:rsidRDefault="003D7AEF" w:rsidP="00762BA4">
      <w:r>
        <w:t>Theatre</w:t>
      </w:r>
      <w:r w:rsidR="00762BA4">
        <w:tab/>
      </w:r>
      <w:r w:rsidR="00762BA4">
        <w:tab/>
      </w:r>
      <w:r w:rsidR="00762BA4">
        <w:tab/>
      </w:r>
      <w:r w:rsidR="00762BA4">
        <w:tab/>
      </w:r>
      <w:r w:rsidR="00762BA4">
        <w:tab/>
      </w:r>
      <w:r w:rsidR="00DF2698">
        <w:tab/>
      </w:r>
      <w:r>
        <w:tab/>
      </w:r>
      <w:r>
        <w:tab/>
      </w:r>
      <w:r>
        <w:tab/>
      </w:r>
      <w:r w:rsidR="00DF2698">
        <w:t>Sample</w:t>
      </w:r>
      <w:r w:rsidR="00762BA4" w:rsidRPr="00D90BFE">
        <w:t xml:space="preserve"> </w:t>
      </w:r>
      <w:r w:rsidR="00F379B8">
        <w:t>D</w:t>
      </w:r>
    </w:p>
    <w:p w14:paraId="46635EEE" w14:textId="6C9FAEA4" w:rsidR="00762BA4" w:rsidRDefault="003D7AEF" w:rsidP="00762BA4">
      <w:r>
        <w:t>HL solo theatre piece</w:t>
      </w:r>
      <w:r w:rsidR="00762BA4">
        <w:tab/>
      </w:r>
      <w:r w:rsidR="00762BA4">
        <w:tab/>
      </w:r>
      <w:r w:rsidR="00762BA4">
        <w:tab/>
      </w:r>
      <w:r w:rsidR="00762BA4">
        <w:tab/>
      </w:r>
      <w:r w:rsidR="00762BA4">
        <w:tab/>
      </w:r>
      <w:r>
        <w:tab/>
      </w:r>
      <w:r>
        <w:tab/>
        <w:t>May</w:t>
      </w:r>
      <w:r w:rsidR="007B318D">
        <w:t xml:space="preserve"> 2016</w:t>
      </w:r>
    </w:p>
    <w:p w14:paraId="6D3DB636" w14:textId="0BD5B8CD" w:rsidR="00762BA4" w:rsidRDefault="003D7AEF" w:rsidP="00762BA4">
      <w:r>
        <w:t>English</w:t>
      </w:r>
      <w:r w:rsidR="00762BA4">
        <w:tab/>
      </w:r>
      <w:r w:rsidR="00762BA4">
        <w:tab/>
      </w:r>
      <w:r w:rsidR="00762BA4">
        <w:tab/>
      </w:r>
      <w:r w:rsidR="00762BA4">
        <w:tab/>
      </w:r>
      <w:r w:rsidR="00762BA4">
        <w:tab/>
      </w:r>
    </w:p>
    <w:p w14:paraId="73842914" w14:textId="77777777" w:rsidR="00762BA4" w:rsidRDefault="00762BA4" w:rsidP="00762BA4"/>
    <w:p w14:paraId="3028E106" w14:textId="06AA5B2C" w:rsidR="00762BA4" w:rsidRDefault="00762BA4" w:rsidP="00762BA4">
      <w:r>
        <w:t xml:space="preserve">In the table below please provide a </w:t>
      </w:r>
      <w:r w:rsidRPr="005D029A">
        <w:rPr>
          <w:b/>
        </w:rPr>
        <w:t>short</w:t>
      </w:r>
      <w:r>
        <w:t xml:space="preserve"> commentary, maximum of 60 words per question/criteria, to justify the mark allocation to support workshop leaders using this sample in a workshop.  Please do not refer to the candidate by name or number, or make comparison to other candidates as this document will need to be </w:t>
      </w:r>
      <w:r w:rsidR="003D7AEF">
        <w:t>anonymised</w:t>
      </w:r>
      <w:bookmarkStart w:id="0" w:name="_GoBack"/>
      <w:bookmarkEnd w:id="0"/>
      <w:r>
        <w:t xml:space="preserve"> before uploading on the Workshop leader resource centre (WRC).</w:t>
      </w:r>
    </w:p>
    <w:p w14:paraId="2B4D674B" w14:textId="77777777" w:rsidR="00762BA4" w:rsidRDefault="00762BA4" w:rsidP="00762BA4"/>
    <w:p w14:paraId="53805FFE" w14:textId="77777777" w:rsidR="00762BA4" w:rsidRDefault="00762BA4" w:rsidP="00762BA4">
      <w:r>
        <w:t>The commentaries are intended to support teachers’ understanding of assessment in this subject so that they can then develop other activities that assess understanding to the same standard.</w:t>
      </w:r>
    </w:p>
    <w:p w14:paraId="7EEF7281" w14:textId="77777777" w:rsidR="00762BA4" w:rsidRDefault="00762BA4" w:rsidP="00762BA4"/>
    <w:p w14:paraId="4308B9E5" w14:textId="77777777" w:rsidR="00762BA4" w:rsidRDefault="00762BA4" w:rsidP="00762BA4">
      <w:r>
        <w:t>Guidance for writing commentaries:</w:t>
      </w:r>
    </w:p>
    <w:p w14:paraId="40D069EC" w14:textId="77777777" w:rsidR="00762BA4" w:rsidRDefault="00762BA4" w:rsidP="00762BA4">
      <w:pPr>
        <w:numPr>
          <w:ilvl w:val="0"/>
          <w:numId w:val="5"/>
        </w:numPr>
      </w:pPr>
      <w:r>
        <w:t>Before writing comments read the subject report and grade descriptors for this subject.  Comment should not contradict either of the documents.</w:t>
      </w:r>
    </w:p>
    <w:p w14:paraId="167C5383" w14:textId="77777777" w:rsidR="00762BA4" w:rsidRDefault="00762BA4" w:rsidP="00762BA4">
      <w:pPr>
        <w:numPr>
          <w:ilvl w:val="0"/>
          <w:numId w:val="5"/>
        </w:numPr>
      </w:pPr>
      <w:r>
        <w:t>Explain why students missed/gained marks and the level of understanding that this demonstrated; useful language from the grade descriptors could be included.</w:t>
      </w:r>
    </w:p>
    <w:p w14:paraId="3A9C74B9" w14:textId="77777777" w:rsidR="00762BA4" w:rsidRDefault="00762BA4" w:rsidP="00762BA4">
      <w:pPr>
        <w:numPr>
          <w:ilvl w:val="0"/>
          <w:numId w:val="5"/>
        </w:numPr>
      </w:pPr>
      <w:r>
        <w:t>Highlight any common problems that need to be addressed by teachers</w:t>
      </w:r>
    </w:p>
    <w:p w14:paraId="1F36B686" w14:textId="77777777" w:rsidR="00762BA4" w:rsidRDefault="00762BA4" w:rsidP="00762B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1036"/>
        <w:gridCol w:w="1036"/>
        <w:gridCol w:w="6723"/>
      </w:tblGrid>
      <w:tr w:rsidR="00AA2802" w:rsidRPr="0057799D" w14:paraId="6CCC66C4" w14:textId="77777777" w:rsidTr="00AA2802">
        <w:tc>
          <w:tcPr>
            <w:tcW w:w="1060" w:type="dxa"/>
          </w:tcPr>
          <w:p w14:paraId="1104F9F1" w14:textId="77777777" w:rsidR="00AA2802" w:rsidRPr="0057799D" w:rsidRDefault="00AA2802" w:rsidP="007B318D">
            <w:pPr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1036" w:type="dxa"/>
          </w:tcPr>
          <w:p w14:paraId="06F53C11" w14:textId="77777777" w:rsidR="00AA2802" w:rsidRPr="0057799D" w:rsidRDefault="00AA2802" w:rsidP="007B318D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1036" w:type="dxa"/>
          </w:tcPr>
          <w:p w14:paraId="090DFD6B" w14:textId="77777777" w:rsidR="00AA2802" w:rsidRPr="0057799D" w:rsidRDefault="00AA2802" w:rsidP="007B318D">
            <w:pPr>
              <w:rPr>
                <w:b/>
              </w:rPr>
            </w:pPr>
            <w:r>
              <w:rPr>
                <w:b/>
              </w:rPr>
              <w:t>Out of</w:t>
            </w:r>
          </w:p>
        </w:tc>
        <w:tc>
          <w:tcPr>
            <w:tcW w:w="6723" w:type="dxa"/>
          </w:tcPr>
          <w:p w14:paraId="78BFAFE9" w14:textId="77777777" w:rsidR="00AA2802" w:rsidRPr="0057799D" w:rsidRDefault="00AA2802" w:rsidP="007B318D">
            <w:pPr>
              <w:rPr>
                <w:b/>
              </w:rPr>
            </w:pPr>
            <w:r w:rsidRPr="0057799D">
              <w:rPr>
                <w:b/>
              </w:rPr>
              <w:t>Justification</w:t>
            </w:r>
          </w:p>
        </w:tc>
      </w:tr>
      <w:tr w:rsidR="00AA2802" w14:paraId="42C0E52E" w14:textId="77777777" w:rsidTr="00AA2802">
        <w:tc>
          <w:tcPr>
            <w:tcW w:w="1060" w:type="dxa"/>
          </w:tcPr>
          <w:p w14:paraId="788F6768" w14:textId="4D9CBA2C" w:rsidR="00AA2802" w:rsidRDefault="007B318D" w:rsidP="007B318D">
            <w:r>
              <w:t>A</w:t>
            </w:r>
          </w:p>
        </w:tc>
        <w:tc>
          <w:tcPr>
            <w:tcW w:w="1036" w:type="dxa"/>
          </w:tcPr>
          <w:p w14:paraId="307F0AE0" w14:textId="576B6A50" w:rsidR="00AA2802" w:rsidRDefault="004A200A" w:rsidP="007B318D">
            <w:r>
              <w:t>8</w:t>
            </w:r>
          </w:p>
        </w:tc>
        <w:tc>
          <w:tcPr>
            <w:tcW w:w="1036" w:type="dxa"/>
          </w:tcPr>
          <w:p w14:paraId="14D1043A" w14:textId="3EBBCED3" w:rsidR="00AA2802" w:rsidRDefault="007B318D" w:rsidP="007B318D">
            <w:r>
              <w:t>8</w:t>
            </w:r>
          </w:p>
        </w:tc>
        <w:tc>
          <w:tcPr>
            <w:tcW w:w="6723" w:type="dxa"/>
          </w:tcPr>
          <w:p w14:paraId="319BD82C" w14:textId="20C80121" w:rsidR="00AA2802" w:rsidRDefault="00533DA4" w:rsidP="004A200A">
            <w:r>
              <w:t>There is a thorough research into the contexts of the theorist and the chosen aspect</w:t>
            </w:r>
            <w:r w:rsidR="00F73336">
              <w:t xml:space="preserve">. The use of </w:t>
            </w:r>
            <w:r>
              <w:t xml:space="preserve">secondary </w:t>
            </w:r>
            <w:r w:rsidR="004A200A">
              <w:t xml:space="preserve">and primary </w:t>
            </w:r>
            <w:r w:rsidR="00F73336">
              <w:t>sources</w:t>
            </w:r>
            <w:r w:rsidR="004A200A">
              <w:t xml:space="preserve"> is extensive</w:t>
            </w:r>
            <w:r>
              <w:t xml:space="preserve">. </w:t>
            </w:r>
          </w:p>
        </w:tc>
      </w:tr>
      <w:tr w:rsidR="00AA2802" w14:paraId="3B979709" w14:textId="77777777" w:rsidTr="00AA2802">
        <w:tc>
          <w:tcPr>
            <w:tcW w:w="1060" w:type="dxa"/>
          </w:tcPr>
          <w:p w14:paraId="7D24DD57" w14:textId="7C1C6D2C" w:rsidR="00AA2802" w:rsidRDefault="009F3C60" w:rsidP="007B318D">
            <w:r>
              <w:t>B</w:t>
            </w:r>
          </w:p>
        </w:tc>
        <w:tc>
          <w:tcPr>
            <w:tcW w:w="1036" w:type="dxa"/>
          </w:tcPr>
          <w:p w14:paraId="0A4C4553" w14:textId="1CA3E75A" w:rsidR="00AA2802" w:rsidRDefault="00533DA4" w:rsidP="007B318D">
            <w:r>
              <w:t>7</w:t>
            </w:r>
          </w:p>
        </w:tc>
        <w:tc>
          <w:tcPr>
            <w:tcW w:w="1036" w:type="dxa"/>
          </w:tcPr>
          <w:p w14:paraId="2B0C383A" w14:textId="198D2735" w:rsidR="00AA2802" w:rsidRDefault="009F3C60" w:rsidP="007B318D">
            <w:r>
              <w:t>8</w:t>
            </w:r>
          </w:p>
        </w:tc>
        <w:tc>
          <w:tcPr>
            <w:tcW w:w="6723" w:type="dxa"/>
          </w:tcPr>
          <w:p w14:paraId="0ED5CFF5" w14:textId="12991392" w:rsidR="00AA2802" w:rsidRDefault="009F3C60" w:rsidP="00D26A15">
            <w:r>
              <w:t xml:space="preserve">The student </w:t>
            </w:r>
            <w:r w:rsidR="00533DA4">
              <w:t>uses</w:t>
            </w:r>
            <w:r w:rsidR="00EB7137">
              <w:t xml:space="preserve"> a </w:t>
            </w:r>
            <w:r w:rsidR="00CD2996">
              <w:t xml:space="preserve">wide </w:t>
            </w:r>
            <w:r w:rsidR="00EB7137">
              <w:t>range of practical</w:t>
            </w:r>
            <w:r w:rsidR="00606F6A">
              <w:t xml:space="preserve"> exploration</w:t>
            </w:r>
            <w:r w:rsidR="003164D5">
              <w:t>s of</w:t>
            </w:r>
            <w:r w:rsidR="00606F6A">
              <w:t xml:space="preserve"> the theory </w:t>
            </w:r>
            <w:r w:rsidR="008A5610">
              <w:t xml:space="preserve">that are </w:t>
            </w:r>
            <w:r w:rsidR="00CD2996">
              <w:t>carefully selected, appropriate</w:t>
            </w:r>
            <w:r w:rsidR="008A5610">
              <w:t xml:space="preserve"> and relevant</w:t>
            </w:r>
            <w:r w:rsidR="00533DA4">
              <w:t xml:space="preserve">, especially related to </w:t>
            </w:r>
            <w:r w:rsidR="00112063">
              <w:t>intentions</w:t>
            </w:r>
            <w:r w:rsidR="008A5610">
              <w:t xml:space="preserve">. </w:t>
            </w:r>
            <w:r w:rsidR="00F94F72">
              <w:t xml:space="preserve">In cases of theorists as the selected one, </w:t>
            </w:r>
            <w:r w:rsidR="00D26A15">
              <w:t>where the choice of an aspect might be elusive, intentions must be kept always under the spotlight</w:t>
            </w:r>
            <w:r w:rsidR="00F94F72">
              <w:t xml:space="preserve">. </w:t>
            </w:r>
            <w:r w:rsidR="008A5610">
              <w:t>The</w:t>
            </w:r>
            <w:r w:rsidR="00EB7137">
              <w:t xml:space="preserve"> reflection on the feedback received by others</w:t>
            </w:r>
            <w:r w:rsidR="008A5610">
              <w:t xml:space="preserve"> is </w:t>
            </w:r>
            <w:r w:rsidR="00F94F72">
              <w:t>adequate</w:t>
            </w:r>
            <w:r w:rsidR="00EB7137">
              <w:t xml:space="preserve">, with </w:t>
            </w:r>
            <w:r w:rsidR="00F94F72">
              <w:t>a description</w:t>
            </w:r>
            <w:r w:rsidR="00EB7137">
              <w:t xml:space="preserve"> of how this feedback contributed to the development of the piece. </w:t>
            </w:r>
            <w:r w:rsidR="00606F6A">
              <w:t xml:space="preserve"> </w:t>
            </w:r>
          </w:p>
        </w:tc>
      </w:tr>
      <w:tr w:rsidR="00AA2802" w14:paraId="529E99EC" w14:textId="77777777" w:rsidTr="00AA2802">
        <w:tc>
          <w:tcPr>
            <w:tcW w:w="1060" w:type="dxa"/>
          </w:tcPr>
          <w:p w14:paraId="418A147A" w14:textId="3929E819" w:rsidR="00AA2802" w:rsidRDefault="009F3C60" w:rsidP="007B318D">
            <w:r>
              <w:t>C</w:t>
            </w:r>
          </w:p>
        </w:tc>
        <w:tc>
          <w:tcPr>
            <w:tcW w:w="1036" w:type="dxa"/>
          </w:tcPr>
          <w:p w14:paraId="69406ED9" w14:textId="5EF9F551" w:rsidR="00AA2802" w:rsidRDefault="007670AF" w:rsidP="007B318D">
            <w:r>
              <w:t>7</w:t>
            </w:r>
          </w:p>
        </w:tc>
        <w:tc>
          <w:tcPr>
            <w:tcW w:w="1036" w:type="dxa"/>
          </w:tcPr>
          <w:p w14:paraId="67E97590" w14:textId="4E810BBA" w:rsidR="00AA2802" w:rsidRDefault="009F3C60" w:rsidP="007B318D">
            <w:r>
              <w:t>8</w:t>
            </w:r>
          </w:p>
        </w:tc>
        <w:tc>
          <w:tcPr>
            <w:tcW w:w="6723" w:type="dxa"/>
          </w:tcPr>
          <w:p w14:paraId="02500363" w14:textId="15908D33" w:rsidR="00AA2802" w:rsidRDefault="00EB7137" w:rsidP="00D26A15">
            <w:r>
              <w:t xml:space="preserve">The use of the selected aspect of theory is clear and relevant, and the intentions are </w:t>
            </w:r>
            <w:r w:rsidR="00665CDC">
              <w:t xml:space="preserve">fully </w:t>
            </w:r>
            <w:r>
              <w:t>met. There is an effective use of theatrical elements in the performance, which are used to the service of fulfilling those intentions.</w:t>
            </w:r>
            <w:r w:rsidR="007E5B85">
              <w:t xml:space="preserve"> </w:t>
            </w:r>
          </w:p>
        </w:tc>
      </w:tr>
      <w:tr w:rsidR="00AA2802" w14:paraId="6F9AEB01" w14:textId="77777777" w:rsidTr="00AA2802">
        <w:tc>
          <w:tcPr>
            <w:tcW w:w="1060" w:type="dxa"/>
          </w:tcPr>
          <w:p w14:paraId="2983CBFA" w14:textId="507BA58F" w:rsidR="00AA2802" w:rsidRDefault="009F3C60" w:rsidP="007B318D">
            <w:r>
              <w:t>D</w:t>
            </w:r>
          </w:p>
        </w:tc>
        <w:tc>
          <w:tcPr>
            <w:tcW w:w="1036" w:type="dxa"/>
          </w:tcPr>
          <w:p w14:paraId="40350D1D" w14:textId="2E5F73BE" w:rsidR="00AA2802" w:rsidRDefault="00533DA4" w:rsidP="007B318D">
            <w:r>
              <w:t>7</w:t>
            </w:r>
          </w:p>
        </w:tc>
        <w:tc>
          <w:tcPr>
            <w:tcW w:w="1036" w:type="dxa"/>
          </w:tcPr>
          <w:p w14:paraId="4E44DC77" w14:textId="23955D78" w:rsidR="00AA2802" w:rsidRDefault="009F3C60" w:rsidP="007B318D">
            <w:r>
              <w:t>8</w:t>
            </w:r>
          </w:p>
        </w:tc>
        <w:tc>
          <w:tcPr>
            <w:tcW w:w="6723" w:type="dxa"/>
          </w:tcPr>
          <w:p w14:paraId="42CA8D48" w14:textId="0BC1CC8D" w:rsidR="00AA2802" w:rsidRDefault="002A6BBF" w:rsidP="00D26A15">
            <w:r>
              <w:t xml:space="preserve">The evaluation of the work is </w:t>
            </w:r>
            <w:r w:rsidR="00D26A15">
              <w:t>informative and adequate</w:t>
            </w:r>
            <w:r w:rsidR="00EB7137">
              <w:t xml:space="preserve">. </w:t>
            </w:r>
            <w:r w:rsidR="007E5B85">
              <w:t>The student also clearly explains</w:t>
            </w:r>
            <w:r>
              <w:t xml:space="preserve"> learning and the implications this learning had on </w:t>
            </w:r>
            <w:r w:rsidR="00D26A15">
              <w:t>her</w:t>
            </w:r>
            <w:r>
              <w:t xml:space="preserve"> </w:t>
            </w:r>
            <w:r>
              <w:lastRenderedPageBreak/>
              <w:t xml:space="preserve">theatre development. </w:t>
            </w:r>
            <w:r w:rsidR="00C83541">
              <w:t xml:space="preserve"> </w:t>
            </w:r>
            <w:r w:rsidR="00D95C74">
              <w:t xml:space="preserve"> </w:t>
            </w:r>
          </w:p>
        </w:tc>
      </w:tr>
      <w:tr w:rsidR="00AA2802" w14:paraId="5CE0864B" w14:textId="77777777" w:rsidTr="00AA2802">
        <w:tc>
          <w:tcPr>
            <w:tcW w:w="1060" w:type="dxa"/>
          </w:tcPr>
          <w:p w14:paraId="2E76B403" w14:textId="77777777" w:rsidR="00AA2802" w:rsidRPr="00AA2802" w:rsidRDefault="00AA2802" w:rsidP="007B318D">
            <w:pPr>
              <w:rPr>
                <w:b/>
              </w:rPr>
            </w:pPr>
            <w:r>
              <w:rPr>
                <w:b/>
              </w:rPr>
              <w:lastRenderedPageBreak/>
              <w:t>Total:</w:t>
            </w:r>
          </w:p>
        </w:tc>
        <w:tc>
          <w:tcPr>
            <w:tcW w:w="1036" w:type="dxa"/>
          </w:tcPr>
          <w:p w14:paraId="1AE4A757" w14:textId="5E3FD6DD" w:rsidR="00AA2802" w:rsidRDefault="00D660BF" w:rsidP="00763A58">
            <w:r>
              <w:t>2</w:t>
            </w:r>
            <w:r w:rsidR="00763A58">
              <w:t>9</w:t>
            </w:r>
          </w:p>
        </w:tc>
        <w:tc>
          <w:tcPr>
            <w:tcW w:w="1036" w:type="dxa"/>
          </w:tcPr>
          <w:p w14:paraId="50F47CB0" w14:textId="1E4BC320" w:rsidR="00AA2802" w:rsidRDefault="009F3C60" w:rsidP="007B318D">
            <w:r>
              <w:t>32</w:t>
            </w:r>
          </w:p>
        </w:tc>
        <w:tc>
          <w:tcPr>
            <w:tcW w:w="6723" w:type="dxa"/>
          </w:tcPr>
          <w:p w14:paraId="4E603BBC" w14:textId="2FDA4D6E" w:rsidR="00AA2802" w:rsidRDefault="00C83541" w:rsidP="005A48A7">
            <w:r>
              <w:t>The</w:t>
            </w:r>
            <w:r w:rsidR="00D95C74">
              <w:t xml:space="preserve"> student identifies a Theorist and an aspect of the theory, </w:t>
            </w:r>
            <w:r w:rsidR="002A6BBF">
              <w:t>with thoughtful consideration on both areas</w:t>
            </w:r>
            <w:r w:rsidR="00D95C74">
              <w:t>.</w:t>
            </w:r>
            <w:r>
              <w:t xml:space="preserve"> </w:t>
            </w:r>
            <w:r w:rsidR="00E911C3">
              <w:t xml:space="preserve">There is </w:t>
            </w:r>
            <w:r w:rsidR="00EB7137">
              <w:t>wide</w:t>
            </w:r>
            <w:r w:rsidR="00E911C3">
              <w:t xml:space="preserve"> range</w:t>
            </w:r>
            <w:r>
              <w:t xml:space="preserve"> </w:t>
            </w:r>
            <w:r w:rsidR="00E911C3">
              <w:t>of sources</w:t>
            </w:r>
            <w:r w:rsidR="007E5B85">
              <w:t xml:space="preserve">, </w:t>
            </w:r>
            <w:r w:rsidR="005A48A7">
              <w:t>both primary and secondary</w:t>
            </w:r>
            <w:r w:rsidR="007E5B85">
              <w:t>,</w:t>
            </w:r>
            <w:r w:rsidR="00E911C3">
              <w:t xml:space="preserve"> used to support the work.</w:t>
            </w:r>
            <w:r w:rsidR="00D95C74">
              <w:t xml:space="preserve"> </w:t>
            </w:r>
            <w:r>
              <w:t xml:space="preserve">There is a range of practical explorations present, </w:t>
            </w:r>
            <w:r w:rsidR="00453B90">
              <w:t>which were carefully selected and relevant to the intentions</w:t>
            </w:r>
            <w:r>
              <w:t xml:space="preserve">. There is </w:t>
            </w:r>
            <w:r w:rsidR="00453B90">
              <w:t>a good description</w:t>
            </w:r>
            <w:r>
              <w:t xml:space="preserve"> of personal learning and development in theatre</w:t>
            </w:r>
            <w:r w:rsidR="00D95C74">
              <w:t xml:space="preserve">. </w:t>
            </w:r>
          </w:p>
        </w:tc>
      </w:tr>
    </w:tbl>
    <w:p w14:paraId="2C8CD3C6" w14:textId="77777777" w:rsidR="00762BA4" w:rsidRPr="00C71D51" w:rsidRDefault="00762BA4" w:rsidP="00762BA4"/>
    <w:p w14:paraId="31A51551" w14:textId="77777777" w:rsidR="00C71D51" w:rsidRPr="00762BA4" w:rsidRDefault="00C71D51" w:rsidP="00762BA4"/>
    <w:sectPr w:rsidR="00C71D51" w:rsidRPr="00762BA4" w:rsidSect="00B83136">
      <w:footerReference w:type="default" r:id="rId7"/>
      <w:headerReference w:type="first" r:id="rId8"/>
      <w:footerReference w:type="first" r:id="rId9"/>
      <w:pgSz w:w="11906" w:h="16838" w:code="9"/>
      <w:pgMar w:top="2104" w:right="1274" w:bottom="1418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3C915" w14:textId="77777777" w:rsidR="00195E28" w:rsidRDefault="00195E28">
      <w:pPr>
        <w:spacing w:before="0" w:line="240" w:lineRule="auto"/>
      </w:pPr>
      <w:r>
        <w:separator/>
      </w:r>
    </w:p>
  </w:endnote>
  <w:endnote w:type="continuationSeparator" w:id="0">
    <w:p w14:paraId="6E2A0516" w14:textId="77777777" w:rsidR="00195E28" w:rsidRDefault="00195E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44B68" w14:textId="77777777" w:rsidR="00112063" w:rsidRDefault="00112063" w:rsidP="0013024E">
    <w:pPr>
      <w:rPr>
        <w:rStyle w:val="apple-style-span"/>
        <w:rFonts w:cs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1040" behindDoc="0" locked="0" layoutInCell="1" allowOverlap="1" wp14:anchorId="2646F489" wp14:editId="0B1FE551">
          <wp:simplePos x="0" y="0"/>
          <wp:positionH relativeFrom="column">
            <wp:posOffset>4819015</wp:posOffset>
          </wp:positionH>
          <wp:positionV relativeFrom="paragraph">
            <wp:posOffset>105410</wp:posOffset>
          </wp:positionV>
          <wp:extent cx="1558925" cy="428625"/>
          <wp:effectExtent l="19050" t="0" r="3175" b="0"/>
          <wp:wrapNone/>
          <wp:docPr id="1" name="Picture 5" descr="IB Trilingual Hzt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B Trilingual Hztl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5E1">
      <w:rPr>
        <w:rStyle w:val="apple-style-span"/>
        <w:rFonts w:cs="Arial"/>
        <w:sz w:val="16"/>
        <w:szCs w:val="16"/>
      </w:rPr>
      <w:t xml:space="preserve"> </w:t>
    </w:r>
  </w:p>
  <w:p w14:paraId="345DC014" w14:textId="77777777" w:rsidR="00112063" w:rsidRPr="0013024E" w:rsidRDefault="00112063" w:rsidP="0013024E">
    <w:pPr>
      <w:rPr>
        <w:rFonts w:cs="Arial"/>
        <w:sz w:val="16"/>
        <w:szCs w:val="16"/>
      </w:rPr>
    </w:pPr>
    <w:r w:rsidRPr="004035E1">
      <w:rPr>
        <w:rStyle w:val="apple-style-span"/>
        <w:rFonts w:cs="Arial"/>
        <w:sz w:val="16"/>
        <w:szCs w:val="16"/>
      </w:rPr>
      <w:t>      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5DC7C" w14:textId="77777777" w:rsidR="00112063" w:rsidRPr="00AA6439" w:rsidRDefault="00112063" w:rsidP="00AA6439">
    <w:pPr>
      <w:pStyle w:val="Footer"/>
      <w:rPr>
        <w:szCs w:val="16"/>
      </w:rPr>
    </w:pPr>
    <w:r>
      <w:rPr>
        <w:noProof/>
        <w:szCs w:val="16"/>
        <w:lang w:eastAsia="en-GB"/>
      </w:rPr>
      <w:drawing>
        <wp:anchor distT="0" distB="0" distL="114300" distR="114300" simplePos="0" relativeHeight="251672064" behindDoc="0" locked="0" layoutInCell="1" allowOverlap="1" wp14:anchorId="74483040" wp14:editId="10700F06">
          <wp:simplePos x="0" y="0"/>
          <wp:positionH relativeFrom="column">
            <wp:posOffset>-630555</wp:posOffset>
          </wp:positionH>
          <wp:positionV relativeFrom="paragraph">
            <wp:posOffset>-139065</wp:posOffset>
          </wp:positionV>
          <wp:extent cx="7560310" cy="857250"/>
          <wp:effectExtent l="19050" t="0" r="2540" b="0"/>
          <wp:wrapNone/>
          <wp:docPr id="3" name="Picture 2" descr="A4-footer-greyscale (01-201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greyscale (01-2014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6D62A" w14:textId="77777777" w:rsidR="00195E28" w:rsidRDefault="00195E28">
      <w:pPr>
        <w:spacing w:before="0" w:line="240" w:lineRule="auto"/>
      </w:pPr>
      <w:r>
        <w:separator/>
      </w:r>
    </w:p>
  </w:footnote>
  <w:footnote w:type="continuationSeparator" w:id="0">
    <w:p w14:paraId="6EE4E6B3" w14:textId="77777777" w:rsidR="00195E28" w:rsidRDefault="00195E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6B3D" w14:textId="77777777" w:rsidR="00112063" w:rsidRDefault="00112063">
    <w:pPr>
      <w:pStyle w:val="Header"/>
    </w:pPr>
    <w:r w:rsidRPr="00740D3B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61AD1B15" wp14:editId="48F4D97B">
          <wp:simplePos x="0" y="0"/>
          <wp:positionH relativeFrom="column">
            <wp:posOffset>4331970</wp:posOffset>
          </wp:positionH>
          <wp:positionV relativeFrom="paragraph">
            <wp:posOffset>-2540</wp:posOffset>
          </wp:positionV>
          <wp:extent cx="2072005" cy="571500"/>
          <wp:effectExtent l="19050" t="0" r="4445" b="0"/>
          <wp:wrapNone/>
          <wp:docPr id="7" name="Picture 11" descr="IB Trilingual Hztl 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B Trilingual Hztl B&amp;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13F2"/>
    <w:multiLevelType w:val="hybridMultilevel"/>
    <w:tmpl w:val="A888E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A3C7F"/>
    <w:multiLevelType w:val="hybridMultilevel"/>
    <w:tmpl w:val="F61E8872"/>
    <w:lvl w:ilvl="0" w:tplc="F0E41E74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F48A3"/>
    <w:multiLevelType w:val="hybridMultilevel"/>
    <w:tmpl w:val="D354F19E"/>
    <w:lvl w:ilvl="0" w:tplc="4E9898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A37F1"/>
    <w:multiLevelType w:val="hybridMultilevel"/>
    <w:tmpl w:val="C908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32531"/>
    <w:multiLevelType w:val="hybridMultilevel"/>
    <w:tmpl w:val="EE0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E0"/>
    <w:rsid w:val="0000029F"/>
    <w:rsid w:val="00026F8C"/>
    <w:rsid w:val="000329D7"/>
    <w:rsid w:val="00054A82"/>
    <w:rsid w:val="000C67E5"/>
    <w:rsid w:val="000F6846"/>
    <w:rsid w:val="00112063"/>
    <w:rsid w:val="00126B24"/>
    <w:rsid w:val="0013024E"/>
    <w:rsid w:val="00164102"/>
    <w:rsid w:val="00195E28"/>
    <w:rsid w:val="001B4F9E"/>
    <w:rsid w:val="002205AB"/>
    <w:rsid w:val="002303D4"/>
    <w:rsid w:val="002A6BBF"/>
    <w:rsid w:val="002A75E4"/>
    <w:rsid w:val="002D535D"/>
    <w:rsid w:val="003164D5"/>
    <w:rsid w:val="00332D47"/>
    <w:rsid w:val="00376502"/>
    <w:rsid w:val="00385DE9"/>
    <w:rsid w:val="0039379F"/>
    <w:rsid w:val="003949EE"/>
    <w:rsid w:val="003B1D1C"/>
    <w:rsid w:val="003B39A9"/>
    <w:rsid w:val="003D72EF"/>
    <w:rsid w:val="003D7AEF"/>
    <w:rsid w:val="00407FC5"/>
    <w:rsid w:val="00417729"/>
    <w:rsid w:val="00440BFB"/>
    <w:rsid w:val="00453B90"/>
    <w:rsid w:val="00475036"/>
    <w:rsid w:val="00483CA1"/>
    <w:rsid w:val="0049781E"/>
    <w:rsid w:val="004A0C75"/>
    <w:rsid w:val="004A200A"/>
    <w:rsid w:val="005278BE"/>
    <w:rsid w:val="00533DA4"/>
    <w:rsid w:val="005A286D"/>
    <w:rsid w:val="005A48A7"/>
    <w:rsid w:val="00606F6A"/>
    <w:rsid w:val="006070C9"/>
    <w:rsid w:val="00632880"/>
    <w:rsid w:val="00642CCF"/>
    <w:rsid w:val="00665CDC"/>
    <w:rsid w:val="00690AFA"/>
    <w:rsid w:val="006B35F4"/>
    <w:rsid w:val="006B705E"/>
    <w:rsid w:val="006D7DB9"/>
    <w:rsid w:val="006E4266"/>
    <w:rsid w:val="00740D3B"/>
    <w:rsid w:val="00762BA4"/>
    <w:rsid w:val="00763A58"/>
    <w:rsid w:val="007670AF"/>
    <w:rsid w:val="007A1B0F"/>
    <w:rsid w:val="007A3F3D"/>
    <w:rsid w:val="007B318D"/>
    <w:rsid w:val="007C03DC"/>
    <w:rsid w:val="007D0873"/>
    <w:rsid w:val="007E5B85"/>
    <w:rsid w:val="00873781"/>
    <w:rsid w:val="008A5610"/>
    <w:rsid w:val="008B4350"/>
    <w:rsid w:val="009B1405"/>
    <w:rsid w:val="009F3C60"/>
    <w:rsid w:val="00A1163E"/>
    <w:rsid w:val="00A75AE0"/>
    <w:rsid w:val="00AA2802"/>
    <w:rsid w:val="00AA6439"/>
    <w:rsid w:val="00B567DE"/>
    <w:rsid w:val="00B83136"/>
    <w:rsid w:val="00B91345"/>
    <w:rsid w:val="00BC6CC3"/>
    <w:rsid w:val="00C71D51"/>
    <w:rsid w:val="00C83541"/>
    <w:rsid w:val="00C83A79"/>
    <w:rsid w:val="00C912F5"/>
    <w:rsid w:val="00CD2996"/>
    <w:rsid w:val="00CE598C"/>
    <w:rsid w:val="00D0344F"/>
    <w:rsid w:val="00D26A15"/>
    <w:rsid w:val="00D660BF"/>
    <w:rsid w:val="00D95C74"/>
    <w:rsid w:val="00DF2698"/>
    <w:rsid w:val="00E66460"/>
    <w:rsid w:val="00E911C3"/>
    <w:rsid w:val="00EB7137"/>
    <w:rsid w:val="00ED14C2"/>
    <w:rsid w:val="00EE5123"/>
    <w:rsid w:val="00EE70DD"/>
    <w:rsid w:val="00F209D6"/>
    <w:rsid w:val="00F3097B"/>
    <w:rsid w:val="00F379B8"/>
    <w:rsid w:val="00F57D3B"/>
    <w:rsid w:val="00F73336"/>
    <w:rsid w:val="00F8150C"/>
    <w:rsid w:val="00F92FE3"/>
    <w:rsid w:val="00F939E8"/>
    <w:rsid w:val="00F94F72"/>
    <w:rsid w:val="00FD3FF2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ED1E9"/>
  <w15:docId w15:val="{9E978F21-685A-4FD7-A2E0-1DF7E65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A4"/>
    <w:pPr>
      <w:spacing w:before="120" w:line="28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F3097B"/>
    <w:pPr>
      <w:keepNext/>
      <w:spacing w:before="360" w:after="240" w:line="240" w:lineRule="auto"/>
      <w:outlineLvl w:val="0"/>
    </w:pPr>
    <w:rPr>
      <w:rFonts w:cs="Arial"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3097B"/>
    <w:pPr>
      <w:keepNext/>
      <w:spacing w:before="360" w:after="12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097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30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3097B"/>
    <w:pPr>
      <w:tabs>
        <w:tab w:val="left" w:pos="4153"/>
        <w:tab w:val="right" w:pos="8306"/>
      </w:tabs>
    </w:pPr>
    <w:rPr>
      <w:sz w:val="16"/>
    </w:rPr>
  </w:style>
  <w:style w:type="paragraph" w:customStyle="1" w:styleId="Bullet">
    <w:name w:val="Bullet"/>
    <w:basedOn w:val="Normal"/>
    <w:rsid w:val="00F3097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8B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BE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semiHidden/>
    <w:rsid w:val="00F3097B"/>
    <w:pPr>
      <w:ind w:left="720"/>
    </w:pPr>
    <w:rPr>
      <w:i/>
      <w:iCs/>
    </w:rPr>
  </w:style>
  <w:style w:type="paragraph" w:customStyle="1" w:styleId="IBsupportingdescription">
    <w:name w:val="IB supporting description"/>
    <w:basedOn w:val="Normal"/>
    <w:next w:val="Normal"/>
    <w:rsid w:val="00F3097B"/>
    <w:pPr>
      <w:spacing w:before="240" w:after="120" w:line="240" w:lineRule="auto"/>
    </w:pPr>
    <w:rPr>
      <w:i/>
      <w:color w:val="999999"/>
      <w:sz w:val="40"/>
    </w:rPr>
  </w:style>
  <w:style w:type="paragraph" w:customStyle="1" w:styleId="Number">
    <w:name w:val="Number"/>
    <w:basedOn w:val="Normal"/>
    <w:rsid w:val="00F3097B"/>
    <w:pPr>
      <w:numPr>
        <w:numId w:val="4"/>
      </w:numPr>
    </w:pPr>
  </w:style>
  <w:style w:type="character" w:styleId="PageNumber">
    <w:name w:val="page number"/>
    <w:basedOn w:val="DefaultParagraphFont"/>
    <w:semiHidden/>
    <w:rsid w:val="007A3F3D"/>
  </w:style>
  <w:style w:type="character" w:customStyle="1" w:styleId="apple-style-span">
    <w:name w:val="apple-style-span"/>
    <w:basedOn w:val="DefaultParagraphFont"/>
    <w:rsid w:val="007A3F3D"/>
  </w:style>
  <w:style w:type="character" w:styleId="CommentReference">
    <w:name w:val="annotation reference"/>
    <w:basedOn w:val="DefaultParagraphFont"/>
    <w:uiPriority w:val="99"/>
    <w:semiHidden/>
    <w:unhideWhenUsed/>
    <w:rsid w:val="004A0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C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C75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ubukolao\Downloads\IB-Default-BW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IB-Default-BW (1).dotx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report</vt:lpstr>
    </vt:vector>
  </TitlesOfParts>
  <Company>INTERNATIONAL BACCALAUREATE ORGANISATION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report</dc:title>
  <dc:creator>Bukky Okunnuga</dc:creator>
  <cp:lastModifiedBy>Zander Wevers</cp:lastModifiedBy>
  <cp:revision>2</cp:revision>
  <cp:lastPrinted>2007-02-27T20:41:00Z</cp:lastPrinted>
  <dcterms:created xsi:type="dcterms:W3CDTF">2016-10-28T09:29:00Z</dcterms:created>
  <dcterms:modified xsi:type="dcterms:W3CDTF">2016-10-28T09:29:00Z</dcterms:modified>
</cp:coreProperties>
</file>